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附件1</w:t>
      </w:r>
    </w:p>
    <w:p>
      <w:pPr>
        <w:jc w:val="center"/>
        <w:rPr>
          <w:rFonts w:ascii="黑体" w:eastAsia="黑体" w:cs="黑体"/>
          <w:sz w:val="36"/>
          <w:szCs w:val="36"/>
        </w:rPr>
      </w:pPr>
      <w:bookmarkStart w:id="0" w:name="_GoBack"/>
      <w:r>
        <w:rPr>
          <w:rFonts w:hint="eastAsia" w:ascii="黑体" w:eastAsia="黑体" w:cs="黑体"/>
          <w:sz w:val="36"/>
          <w:szCs w:val="36"/>
        </w:rPr>
        <w:t>政协呼和浩特市委员会办公厅2016年度社情民意信息来稿采用情况统计表</w:t>
      </w:r>
    </w:p>
    <w:bookmarkEnd w:id="0"/>
    <w:p>
      <w:pPr>
        <w:ind w:firstLine="420"/>
        <w:jc w:val="center"/>
        <w:rPr>
          <w:sz w:val="28"/>
          <w:szCs w:val="28"/>
        </w:rPr>
      </w:pPr>
    </w:p>
    <w:p>
      <w:pPr>
        <w:jc w:val="center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各民主党派呼和浩特市委员会和市工商联、市妇联</w:t>
      </w:r>
    </w:p>
    <w:tbl>
      <w:tblPr>
        <w:tblStyle w:val="3"/>
        <w:tblpPr w:leftFromText="180" w:rightFromText="180" w:vertAnchor="text" w:horzAnchor="page" w:tblpX="1941" w:tblpY="532"/>
        <w:tblOverlap w:val="never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72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rFonts w:asci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来稿篇数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采用情况（单位：篇）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民革呼和浩特市委员会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民盟呼和浩特市委员会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7（含综合采用数）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民建呼和浩特市委员会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34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民进呼和浩特市委员会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农工党呼和浩特市委员会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九三学社呼和浩特市委员会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呼和浩特市工商业联合会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呼和浩特市妇女联合会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22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141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49</w:t>
            </w:r>
          </w:p>
        </w:tc>
      </w:tr>
    </w:tbl>
    <w:p>
      <w:pPr>
        <w:jc w:val="center"/>
        <w:rPr>
          <w:rFonts w:hint="eastAsia" w:ascii="黑体" w:eastAsia="黑体" w:cs="黑体"/>
          <w:sz w:val="30"/>
          <w:szCs w:val="30"/>
        </w:rPr>
      </w:pPr>
    </w:p>
    <w:p>
      <w:pPr>
        <w:jc w:val="center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部分旗县区政协</w:t>
      </w:r>
    </w:p>
    <w:tbl>
      <w:tblPr>
        <w:tblStyle w:val="3"/>
        <w:tblpPr w:leftFromText="180" w:rightFromText="180" w:vertAnchor="text" w:horzAnchor="page" w:tblpX="1956" w:tblpY="532"/>
        <w:tblOverlap w:val="never"/>
        <w:tblW w:w="8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2"/>
        <w:gridCol w:w="175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2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来稿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篇</w:t>
            </w:r>
            <w:r>
              <w:rPr>
                <w:rFonts w:hint="eastAsia" w:ascii="黑体" w:eastAsia="黑体" w:cs="黑体"/>
                <w:sz w:val="28"/>
                <w:szCs w:val="28"/>
              </w:rPr>
              <w:t>数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采用情况（单位：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篇</w:t>
            </w:r>
            <w:r>
              <w:rPr>
                <w:rFonts w:hint="eastAsia" w:ascii="黑体" w:eastAsia="黑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土默特左旗政协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24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托克托县政协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和林格尔县政协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新城区政协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玉泉区政协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赛罕区政协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86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10</w:t>
            </w:r>
          </w:p>
        </w:tc>
      </w:tr>
    </w:tbl>
    <w:p>
      <w:pPr>
        <w:jc w:val="center"/>
        <w:rPr>
          <w:rFonts w:ascii="黑体" w:eastAsia="黑体" w:cs="黑体"/>
          <w:sz w:val="30"/>
          <w:szCs w:val="30"/>
        </w:rPr>
      </w:pPr>
    </w:p>
    <w:p>
      <w:pPr>
        <w:jc w:val="center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市政协委员</w:t>
      </w:r>
    </w:p>
    <w:tbl>
      <w:tblPr>
        <w:tblStyle w:val="3"/>
        <w:tblpPr w:leftFromText="180" w:rightFromText="180" w:vertAnchor="text" w:horzAnchor="page" w:tblpX="1956" w:tblpY="532"/>
        <w:tblOverlap w:val="never"/>
        <w:tblW w:w="8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2"/>
        <w:gridCol w:w="175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来稿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篇</w:t>
            </w:r>
            <w:r>
              <w:rPr>
                <w:rFonts w:hint="eastAsia" w:ascii="黑体" w:eastAsia="黑体" w:cs="黑体"/>
                <w:sz w:val="28"/>
                <w:szCs w:val="28"/>
              </w:rPr>
              <w:t>数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采用情况（单位：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篇</w:t>
            </w:r>
            <w:r>
              <w:rPr>
                <w:rFonts w:hint="eastAsia" w:ascii="黑体" w:eastAsia="黑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卜英姿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卜英姿</w:t>
            </w:r>
            <w:r>
              <w:rPr>
                <w:rFonts w:hint="eastAsia" w:ascii="宋体" w:eastAsia="宋体" w:cs="Arial Unicode MS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eastAsia="宋体"/>
                <w:sz w:val="28"/>
                <w:szCs w:val="28"/>
              </w:rPr>
              <w:t>杨海平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曹丽丽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陈红芬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陈玉峰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邸魏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陈曼莉 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南海潮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赵建新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吕晓青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6(含综合采用数）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付英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郭兰清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胡连峰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李至茗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林梧霞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钱宏光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马保国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马瑞强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缪娜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娜日苏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聂向东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任明姬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王爱东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王辉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王荣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乌力吉其其格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吴坪晏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武成义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武文兰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徐东飞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杨崇秀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云铁柱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张慧琴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张润生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张彦杰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张一帆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赵勇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周彦林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单树芳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张卉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黄海超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 xml:space="preserve">萨茹利 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乌日娜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 xml:space="preserve">云瑞君 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赵福生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>杨俊平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  <w:t xml:space="preserve">天莹 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1（含综合采用数）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陈文斌 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王君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张耀英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周英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陆俊梅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周建国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张郡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自治区政协委员包布和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95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33</w:t>
            </w:r>
          </w:p>
        </w:tc>
      </w:tr>
    </w:tbl>
    <w:p>
      <w:pPr>
        <w:jc w:val="center"/>
        <w:rPr>
          <w:rFonts w:hint="eastAsia" w:ascii="黑体" w:eastAsia="黑体" w:cs="黑体"/>
          <w:sz w:val="30"/>
          <w:szCs w:val="30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黑体" w:eastAsia="黑体" w:cs="黑体"/>
          <w:sz w:val="30"/>
          <w:szCs w:val="30"/>
        </w:rPr>
        <w:t>市政协办公厅新闻信息处</w:t>
      </w:r>
    </w:p>
    <w:tbl>
      <w:tblPr>
        <w:tblStyle w:val="3"/>
        <w:tblpPr w:leftFromText="180" w:rightFromText="180" w:vertAnchor="text" w:horzAnchor="page" w:tblpX="1956" w:tblpY="532"/>
        <w:tblOverlap w:val="never"/>
        <w:tblW w:w="8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2"/>
        <w:gridCol w:w="175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2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来稿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篇</w:t>
            </w:r>
            <w:r>
              <w:rPr>
                <w:rFonts w:hint="eastAsia" w:ascii="黑体" w:eastAsia="黑体" w:cs="黑体"/>
                <w:sz w:val="28"/>
                <w:szCs w:val="28"/>
              </w:rPr>
              <w:t>数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采用情况（单位：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篇</w:t>
            </w:r>
            <w:r>
              <w:rPr>
                <w:rFonts w:hint="eastAsia" w:ascii="黑体" w:eastAsia="黑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市政协办公厅新闻信息处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8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685C"/>
    <w:rsid w:val="44BC6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2017-05-09T06:41:00Z</dcterms:created>
  <dc:creator>lenovo</dc:creator>
  <cp:lastModifiedBy>lenovo</cp:lastModifiedBy>
  <dcterms:modified xsi:type="dcterms:W3CDTF">2017-05-09T06:43:09Z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