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r>
        <w:rPr>
          <w:rFonts w:hint="eastAsia"/>
          <w:sz w:val="48"/>
          <w:szCs w:val="48"/>
          <w:lang w:eastAsia="zh-CN"/>
        </w:rPr>
        <w:t>市本级预算支出事前绩效评估报告</w:t>
      </w:r>
    </w:p>
    <w:p>
      <w:pPr>
        <w:jc w:val="center"/>
        <w:rPr>
          <w:rFonts w:hint="eastAsia"/>
          <w:sz w:val="48"/>
          <w:szCs w:val="48"/>
          <w:lang w:eastAsia="zh-CN"/>
        </w:rPr>
      </w:pPr>
    </w:p>
    <w:p>
      <w:pPr>
        <w:numPr>
          <w:ilvl w:val="0"/>
          <w:numId w:val="1"/>
        </w:numPr>
        <w:jc w:val="both"/>
        <w:rPr>
          <w:rFonts w:hint="eastAsia"/>
          <w:sz w:val="30"/>
          <w:szCs w:val="30"/>
          <w:lang w:eastAsia="zh-CN"/>
        </w:rPr>
      </w:pPr>
      <w:r>
        <w:rPr>
          <w:rFonts w:hint="eastAsia"/>
          <w:sz w:val="30"/>
          <w:szCs w:val="30"/>
          <w:lang w:eastAsia="zh-CN"/>
        </w:rPr>
        <w:t>评估对象概括</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政协呼和浩特委员会包括市政协本级、机关综合服务中心及政协理论研究会。截止2020年共立项目16项。其中本级12项：重点提案督办费、主席调研费、政协委员专项活动费、政协常委会经费、老委员活动经费、政协十二届五次全委会经费、协商调研费、机关事务中心聘用人员经费、党政机关电子公文系统升级改造工程、体检费、应用型智库和参政议政人才库经费、政协文史资料编印经费。机关综合服务中心1项：体检费。政协理论研究会3项：《呼和浩特政协》编印费、理论研究会事业费、体检费。</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政协常委会经费：依据政协章程列入预算，政协常委会每季度召开一次，每次会议列10万元预算，年度总预算40万元。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主席调研费：市财政局组织相关科室人员深入市政协考察调研，研究决定每位主席每年五万元调研经费，年度总预算45万元。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老委员活动经费：根据市委常委（纪要）【1995】18号文件指示年度总预算5万元。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政协十二届五次全委会经费：按照自治区党委、政府办公厅关于印发《自治区本级党政机关会议管理办法》（厅发【2014】13号）按照【委员人数+工作人员（工作人员控制在委员人数的20%）】*550元*会期，2020年年度预算155.54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重点提案督办费：市政协《申请将呼市政协重点提案督办费列入财政预算的请示》（呼政协办发【2013】52号）经市领导批示同意重点提案督办费25万元列入预算。</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协商调研费：属我单位延续项目，主要用于各专委会赴外调研经费，年预算77万元。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政协委员专项活动费：政协委员开展调研、界别活动所需的差旅费、办公费、劳务费，为委员订阅《人民政协报》等报纸杂志，以及委员培训用。呼和浩特市常委会议（纪要）【1995】18号《关于是政协工作、扶贫工资、科教兴市工作、反腐败工作、自治区成立50周年大庆筹备工资的会议纪要》。政协委员活动费：呼和浩特市政协委员333人（编制333人），每个委员年活动经费1800元，需599400元。政协委员开展调研、界别活动所需的差旅费、办公费、劳务费，为委员订阅《人民政协报》等报纸杂志，以及委员培训用。呼和浩特市常委会议（纪要）【1995】18号《关于是政协工作、扶贫工资、科教兴市工作、反腐败工作、自治区成立50周年大庆筹备工资的会议纪要》。政协委员活动费：呼和浩特市政协委员336人（编制336人），每个委员年活动经费1800元，需604800元。</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机关事务中心聘用人员经费：属我单位延续项目，主要用于机关聘用人员经费。</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党政机关电子公文系统升级改造工程经费：对党政机关电子公文系统相关软件进行升级改造，资金概算通过专家评审，形成实施方案并已立项，立项批复文号{2020}36号。</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体检费：为了全面落实自治区党委和市委、市政府关心关爱干部职工的工作部署和要求，切实解决好干部职工的体检问题。行政在职46人*1000元/人=4.6万元，退休75人*1000元/人=7.5万元合计：12.1万元。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应用型智库和参政议政人才库经费：参照内蒙古自治区政协已经出台的应用型智库专项经费执行标准，市政协应用型智库专项经费执行标准，市政协应用型智库需聘专家、学者、教授150人左右，围绕市委、市政府中心工作对我市政治、经济、文化和社会生活中的重要问题以及人民群众普遍关心的问题，开展调查研究，贡献政协力量。所需经费30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政协文史资料编印经费：2021年是中国共产党成立100周年，为配合开展好系列纪念活动，认真贯彻落实习近平总书记关于内蒙古工作的重要讲话和重要批示指示精神，政协呼和浩特市委员会拟出版以内蒙古民主融合发展史、践行绿水青山就是金山银山的发展理念为主要内容的文史资料2部专辑，同时编印《呼和浩特是政协年鉴》，拟各印2000册，共6000册，所需经费28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机关综合服务中心体检费：为了全面落实自治区党委和市委、市政府关心关爱干部职工的工作部署和要求，切实解决好干部职工的体检问题。政协综合服务中心在职27人*1000元/人=2.7万元，退休12人*1000元/人=1.2万元合计：3.9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理论研究会事业费：属我单位延续项目，主要用于为推进我市政协事业发展提供经费支持，年预算9.18万元。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eastAsia"/>
          <w:sz w:val="30"/>
          <w:szCs w:val="30"/>
          <w:lang w:val="en-US" w:eastAsia="zh-CN"/>
        </w:rPr>
      </w:pPr>
      <w:r>
        <w:rPr>
          <w:rFonts w:hint="eastAsia"/>
          <w:sz w:val="30"/>
          <w:szCs w:val="30"/>
          <w:lang w:val="en-US" w:eastAsia="zh-CN"/>
        </w:rPr>
        <w:t>《呼和浩特政协》编印费：根据呼党组通【2018】22号文件批示及呼人社发【2018】136号文件依据。年预算18万元。</w:t>
      </w:r>
    </w:p>
    <w:p>
      <w:pPr>
        <w:keepNext w:val="0"/>
        <w:keepLines w:val="0"/>
        <w:pageBreakBefore w:val="0"/>
        <w:widowControl w:val="0"/>
        <w:numPr>
          <w:ilvl w:val="0"/>
          <w:numId w:val="0"/>
        </w:numPr>
        <w:kinsoku/>
        <w:wordWrap/>
        <w:overflowPunct/>
        <w:topLinePunct w:val="0"/>
        <w:autoSpaceDE/>
        <w:autoSpaceDN/>
        <w:bidi w:val="0"/>
        <w:adjustRightInd/>
        <w:snapToGrid/>
        <w:ind w:firstLine="601"/>
        <w:jc w:val="both"/>
        <w:textAlignment w:val="auto"/>
        <w:rPr>
          <w:rFonts w:hint="default"/>
          <w:sz w:val="30"/>
          <w:szCs w:val="30"/>
          <w:lang w:val="en-US" w:eastAsia="zh-CN"/>
        </w:rPr>
      </w:pPr>
      <w:r>
        <w:rPr>
          <w:rFonts w:hint="eastAsia"/>
          <w:sz w:val="30"/>
          <w:szCs w:val="30"/>
          <w:lang w:val="en-US" w:eastAsia="zh-CN"/>
        </w:rPr>
        <w:t xml:space="preserve">理论研究体检费：为了全面落实自治区党委和市委、市政府关心关爱干部职工的工作部署和要求，切实解决好干部职工的体检问题。政协理论研究会在职人员3人*1000元/人=3000元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92AC"/>
    <w:multiLevelType w:val="singleLevel"/>
    <w:tmpl w:val="244592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E5F9F"/>
    <w:rsid w:val="031B098B"/>
    <w:rsid w:val="0F272852"/>
    <w:rsid w:val="125A6193"/>
    <w:rsid w:val="13035E93"/>
    <w:rsid w:val="1854775B"/>
    <w:rsid w:val="1C254E75"/>
    <w:rsid w:val="1C4D6602"/>
    <w:rsid w:val="1E4355A5"/>
    <w:rsid w:val="1F377BF3"/>
    <w:rsid w:val="24E50D84"/>
    <w:rsid w:val="251D1025"/>
    <w:rsid w:val="2A1643D8"/>
    <w:rsid w:val="2C7B7BB9"/>
    <w:rsid w:val="2C8F63C8"/>
    <w:rsid w:val="2D5226C5"/>
    <w:rsid w:val="36061AEB"/>
    <w:rsid w:val="38333B0E"/>
    <w:rsid w:val="3A997300"/>
    <w:rsid w:val="415C7BBE"/>
    <w:rsid w:val="423B3CF2"/>
    <w:rsid w:val="42CB4918"/>
    <w:rsid w:val="43716D48"/>
    <w:rsid w:val="45BF733E"/>
    <w:rsid w:val="462242C9"/>
    <w:rsid w:val="46591BCF"/>
    <w:rsid w:val="4B2F456C"/>
    <w:rsid w:val="4B377B01"/>
    <w:rsid w:val="4CED453B"/>
    <w:rsid w:val="50C409B9"/>
    <w:rsid w:val="52396E35"/>
    <w:rsid w:val="55003D82"/>
    <w:rsid w:val="58870BCD"/>
    <w:rsid w:val="5B9A4810"/>
    <w:rsid w:val="5BE354E6"/>
    <w:rsid w:val="5D202E94"/>
    <w:rsid w:val="638103E9"/>
    <w:rsid w:val="63BC6CB5"/>
    <w:rsid w:val="67115625"/>
    <w:rsid w:val="69F81AEE"/>
    <w:rsid w:val="6E874D22"/>
    <w:rsid w:val="765A0E26"/>
    <w:rsid w:val="7D27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c:creator>
  <cp:lastModifiedBy>阿丽～顶尖奇迹·极简护肤</cp:lastModifiedBy>
  <dcterms:modified xsi:type="dcterms:W3CDTF">2021-03-15T03:36:00Z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